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6E" w:rsidRPr="00006206" w:rsidRDefault="005B186E" w:rsidP="005B186E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006206">
        <w:rPr>
          <w:rFonts w:ascii="Times New Roman" w:hAnsi="Times New Roman"/>
          <w:b/>
          <w:sz w:val="28"/>
          <w:szCs w:val="24"/>
        </w:rPr>
        <w:t>Информация о влиянии деятельности АО «НК «АМТП»</w:t>
      </w:r>
      <w:bookmarkStart w:id="0" w:name="_GoBack"/>
      <w:bookmarkEnd w:id="0"/>
    </w:p>
    <w:p w:rsidR="005B186E" w:rsidRPr="00006206" w:rsidRDefault="005B186E" w:rsidP="005B186E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006206">
        <w:rPr>
          <w:rFonts w:ascii="Times New Roman" w:hAnsi="Times New Roman"/>
          <w:b/>
          <w:sz w:val="28"/>
          <w:szCs w:val="24"/>
        </w:rPr>
        <w:t>на состояние окружающей природной среды</w:t>
      </w:r>
    </w:p>
    <w:p w:rsidR="005B186E" w:rsidRPr="005B186E" w:rsidRDefault="005B186E" w:rsidP="009A02A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7218D9" w:rsidRDefault="007218D9" w:rsidP="007218D9">
      <w:pPr>
        <w:pStyle w:val="21"/>
        <w:ind w:firstLine="567"/>
        <w:rPr>
          <w:szCs w:val="28"/>
        </w:rPr>
      </w:pPr>
      <w:r w:rsidRPr="007218D9">
        <w:rPr>
          <w:szCs w:val="28"/>
        </w:rPr>
        <w:t>Основная производственная деятельность порта заключается в обеспечении своевременной и качественной обработки грузов, включая: погрузку (разгрузку), складские операции с грузами, перевалку на морской транспо</w:t>
      </w:r>
      <w:proofErr w:type="gramStart"/>
      <w:r w:rsidRPr="007218D9">
        <w:rPr>
          <w:szCs w:val="28"/>
        </w:rPr>
        <w:t>рт с др</w:t>
      </w:r>
      <w:proofErr w:type="gramEnd"/>
      <w:r w:rsidRPr="007218D9">
        <w:rPr>
          <w:szCs w:val="28"/>
        </w:rPr>
        <w:t>угих видов транспорта и обратно, а также своевременное и качественное обслуживание морских судов, заходящих в порт.</w:t>
      </w:r>
      <w:r w:rsidR="007C0D32">
        <w:rPr>
          <w:szCs w:val="28"/>
        </w:rPr>
        <w:t xml:space="preserve"> </w:t>
      </w:r>
      <w:r w:rsidRPr="007218D9">
        <w:rPr>
          <w:szCs w:val="28"/>
        </w:rPr>
        <w:t>В процессе осуществления производственной деятель</w:t>
      </w:r>
      <w:r>
        <w:rPr>
          <w:szCs w:val="28"/>
        </w:rPr>
        <w:t xml:space="preserve">ности, </w:t>
      </w:r>
      <w:r w:rsidRPr="007218D9">
        <w:rPr>
          <w:szCs w:val="28"/>
        </w:rPr>
        <w:t>АО «НК «АМТП» обеспечивает, соблюдение экологических требований в соответствии с действующим законодательством, внедряет современные модели управления на основе международных стандартов (системы менеджмента качества в соответствии с МС ИСО 9001, экологического менеджмента ИСО 14001), а также осуществляет деятельность, направленную на социально-экономическое развитие региона.</w:t>
      </w:r>
    </w:p>
    <w:p w:rsidR="007C0D32" w:rsidRDefault="007C0D32" w:rsidP="007218D9">
      <w:pPr>
        <w:pStyle w:val="21"/>
        <w:ind w:firstLine="567"/>
        <w:rPr>
          <w:szCs w:val="28"/>
        </w:rPr>
      </w:pPr>
      <w:r>
        <w:rPr>
          <w:szCs w:val="28"/>
        </w:rPr>
        <w:t>В соответствии со спецификой производственной и эксплуатационной деятельности, определены факторы влияния на окружающую среду. Условия осуществления АО «НК «АМТП» специального природопользования регулируют документы:</w:t>
      </w:r>
    </w:p>
    <w:p w:rsidR="007C0D32" w:rsidRDefault="007C0D32" w:rsidP="007218D9">
      <w:pPr>
        <w:pStyle w:val="21"/>
        <w:ind w:firstLine="567"/>
        <w:rPr>
          <w:szCs w:val="28"/>
        </w:rPr>
      </w:pPr>
      <w:r>
        <w:rPr>
          <w:szCs w:val="28"/>
        </w:rPr>
        <w:t>1. Разрешение на эмиссии в окруж</w:t>
      </w:r>
      <w:r w:rsidR="006C3798">
        <w:rPr>
          <w:szCs w:val="28"/>
        </w:rPr>
        <w:t>ающую среду со сроком действия п</w:t>
      </w:r>
      <w:r>
        <w:rPr>
          <w:szCs w:val="28"/>
        </w:rPr>
        <w:t>о 31.12.2023 г.;</w:t>
      </w:r>
    </w:p>
    <w:p w:rsidR="007C0D32" w:rsidRDefault="007C0D32" w:rsidP="007218D9">
      <w:pPr>
        <w:pStyle w:val="21"/>
        <w:ind w:firstLine="567"/>
        <w:rPr>
          <w:szCs w:val="28"/>
        </w:rPr>
      </w:pPr>
      <w:r>
        <w:rPr>
          <w:szCs w:val="28"/>
        </w:rPr>
        <w:t>2. Проект нормативов обращения с отходами;</w:t>
      </w:r>
    </w:p>
    <w:p w:rsidR="007C0D32" w:rsidRDefault="007C0D32" w:rsidP="007218D9">
      <w:pPr>
        <w:pStyle w:val="21"/>
        <w:ind w:firstLine="567"/>
        <w:rPr>
          <w:szCs w:val="28"/>
        </w:rPr>
      </w:pPr>
      <w:r>
        <w:rPr>
          <w:szCs w:val="28"/>
        </w:rPr>
        <w:t>3. Программа производственного экологического контроля;</w:t>
      </w:r>
    </w:p>
    <w:p w:rsidR="007C0D32" w:rsidRPr="007218D9" w:rsidRDefault="007C0D32" w:rsidP="007218D9">
      <w:pPr>
        <w:pStyle w:val="21"/>
        <w:ind w:firstLine="567"/>
        <w:rPr>
          <w:szCs w:val="28"/>
        </w:rPr>
      </w:pPr>
      <w:r>
        <w:rPr>
          <w:szCs w:val="28"/>
        </w:rPr>
        <w:t>4. План мероприятий по охране окружающей среды на 2019-2023 гг.</w:t>
      </w:r>
    </w:p>
    <w:p w:rsidR="007218D9" w:rsidRDefault="007218D9" w:rsidP="007218D9">
      <w:pPr>
        <w:pStyle w:val="21"/>
        <w:ind w:firstLine="567"/>
        <w:rPr>
          <w:szCs w:val="28"/>
        </w:rPr>
      </w:pPr>
      <w:r w:rsidRPr="007218D9">
        <w:rPr>
          <w:szCs w:val="28"/>
        </w:rPr>
        <w:t>В порту имеется 12 причалов, в том числе сухогрузных (№№1,2,3) общей длиной 450 метров и реконструированной территорией 25 га.</w:t>
      </w:r>
    </w:p>
    <w:p w:rsidR="001E58CD" w:rsidRDefault="001E58CD" w:rsidP="007218D9">
      <w:pPr>
        <w:pStyle w:val="21"/>
        <w:ind w:firstLine="567"/>
        <w:rPr>
          <w:szCs w:val="28"/>
        </w:rPr>
      </w:pPr>
      <w:r>
        <w:rPr>
          <w:szCs w:val="28"/>
        </w:rPr>
        <w:t>С целью оптимизации процесса обращения с отходами, снижения негативного воздействия на окружающую среду за счет минимизации объемов размещения, порт находит повторное применение отдельным видам производственных отходов.</w:t>
      </w:r>
    </w:p>
    <w:p w:rsidR="001E58CD" w:rsidRDefault="001E58CD" w:rsidP="007218D9">
      <w:pPr>
        <w:pStyle w:val="21"/>
        <w:ind w:firstLine="567"/>
        <w:rPr>
          <w:szCs w:val="28"/>
        </w:rPr>
      </w:pPr>
      <w:r>
        <w:rPr>
          <w:szCs w:val="28"/>
        </w:rPr>
        <w:t>С целью совершенствования природоохранной деятельности порта, решения задач оптимизации деятельности и снижения техногенной нагрузки на окружающую среду, в 2007 году в АО «НК «АМТП» была внедрена интегрированная система менеджмента качества и экологического менеджмента. Анализ реализации политики качества и экологии, целей и задач, поставленных на 2020 год, показал положительную динамику процессов, эффективность и полную управляемость.</w:t>
      </w:r>
    </w:p>
    <w:p w:rsidR="006C3798" w:rsidRDefault="006C3798" w:rsidP="007218D9">
      <w:pPr>
        <w:pStyle w:val="21"/>
        <w:ind w:firstLine="567"/>
        <w:rPr>
          <w:szCs w:val="28"/>
        </w:rPr>
      </w:pPr>
    </w:p>
    <w:p w:rsidR="001E58CD" w:rsidRDefault="001E58CD" w:rsidP="007218D9">
      <w:pPr>
        <w:pStyle w:val="21"/>
        <w:ind w:firstLine="567"/>
        <w:rPr>
          <w:szCs w:val="28"/>
        </w:rPr>
      </w:pPr>
      <w:r>
        <w:rPr>
          <w:szCs w:val="28"/>
        </w:rPr>
        <w:lastRenderedPageBreak/>
        <w:t>В соответствии с национальными и международными требованиями, порт Актау:</w:t>
      </w:r>
    </w:p>
    <w:p w:rsidR="001E58CD" w:rsidRDefault="001E58CD" w:rsidP="007218D9">
      <w:pPr>
        <w:pStyle w:val="21"/>
        <w:ind w:firstLine="567"/>
        <w:rPr>
          <w:szCs w:val="28"/>
        </w:rPr>
      </w:pPr>
      <w:r>
        <w:rPr>
          <w:szCs w:val="28"/>
        </w:rPr>
        <w:t>1. имеет План ликвидации разливов нефти, отвечающий установленным стандартам, главная цель которого – обеспечение адекватного реагирования на разлив, локализация и полная ликвидация загрязнения акватории посредством имеющегося природоохранного оборудования и специализированных судов. Настоящий План предусматривает действия порта, с учетом технической оснащенности оборудованием и вспомогательными средствами, рассчитанные на разлив нефти 1 уровня (в пределах 10,0 тонн). При разливах нефти уровней 2,3 – вступает в действие Национальный План РК;</w:t>
      </w:r>
    </w:p>
    <w:p w:rsidR="001E58CD" w:rsidRDefault="001E58CD" w:rsidP="007218D9">
      <w:pPr>
        <w:pStyle w:val="21"/>
        <w:ind w:firstLine="567"/>
        <w:rPr>
          <w:szCs w:val="28"/>
        </w:rPr>
      </w:pPr>
      <w:r>
        <w:rPr>
          <w:szCs w:val="28"/>
        </w:rPr>
        <w:t>2. поддерживает в состоянии готовности оборудование, предназначенное для ликвидации разливов нефти, производит обновление эксплуатируемого оборудования на модификации более высокого уровня;</w:t>
      </w:r>
    </w:p>
    <w:p w:rsidR="001E58CD" w:rsidRPr="007218D9" w:rsidRDefault="00BE2118" w:rsidP="003D3D82">
      <w:pPr>
        <w:pStyle w:val="21"/>
        <w:spacing w:after="240"/>
        <w:ind w:firstLine="567"/>
        <w:rPr>
          <w:szCs w:val="28"/>
        </w:rPr>
      </w:pPr>
      <w:r>
        <w:rPr>
          <w:szCs w:val="28"/>
        </w:rPr>
        <w:t>3. с целью совершенствования навыков персонала, ежегодно проводит учения спецподразделения по ликвидации разливов нефти.</w:t>
      </w:r>
    </w:p>
    <w:p w:rsidR="005B186E" w:rsidRDefault="00BE2118" w:rsidP="009A02A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6C3798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целях решения задач Программы производственного экологического контроля АО «НК «АМТП»:</w:t>
      </w:r>
    </w:p>
    <w:p w:rsidR="006C3798" w:rsidRDefault="006C3798" w:rsidP="009A02A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в рамках мероприятий по охране воздушного бассейна проводит отбор проб атмосферного воздуха на содержание зерновой пыли в период погрузки зерна;</w:t>
      </w:r>
    </w:p>
    <w:p w:rsidR="005B186E" w:rsidRDefault="006C3798" w:rsidP="003D3D82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 рамках мероприятий по охране и рациональному использованию водных ресурсов на протяжении ряда лет проводит аналитический контроль </w:t>
      </w:r>
      <w:r w:rsidR="003D3D82">
        <w:rPr>
          <w:rFonts w:ascii="Times New Roman" w:eastAsia="Times New Roman" w:hAnsi="Times New Roman" w:cs="Times New Roman"/>
          <w:sz w:val="28"/>
          <w:szCs w:val="24"/>
          <w:lang w:eastAsia="ru-RU"/>
        </w:rPr>
        <w:t>качества морской воды на содержание нефти и прочие 18 нормируемых показателей. Анализ результатов исследований, проведенных в 2020 году, показал отсутствие превышения по всем исследуемым ингредиентам морской воды.</w:t>
      </w:r>
    </w:p>
    <w:p w:rsidR="004D5475" w:rsidRDefault="004D5475" w:rsidP="004D54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5475" w:rsidRDefault="004D5475" w:rsidP="004D54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5475" w:rsidRDefault="004D5475" w:rsidP="004D54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5475" w:rsidRDefault="004D5475" w:rsidP="004D54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5475" w:rsidRDefault="004D5475" w:rsidP="004D54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5475" w:rsidRDefault="004D5475" w:rsidP="004D54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5475" w:rsidRDefault="004D5475" w:rsidP="004D54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5475" w:rsidRDefault="004D5475" w:rsidP="004D54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5475" w:rsidRDefault="004D5475" w:rsidP="004D54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5475" w:rsidRPr="005B186E" w:rsidRDefault="004D5475" w:rsidP="004D54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9A02AF" w:rsidRPr="001E7651" w:rsidRDefault="009A02AF" w:rsidP="009A02A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</w:rPr>
      </w:pPr>
      <w:r w:rsidRPr="001E7651">
        <w:rPr>
          <w:rFonts w:ascii="Times New Roman" w:hAnsi="Times New Roman"/>
          <w:b/>
          <w:sz w:val="28"/>
          <w:szCs w:val="24"/>
        </w:rPr>
        <w:lastRenderedPageBreak/>
        <w:t>Анализ факт</w:t>
      </w:r>
      <w:r w:rsidR="003D3D82">
        <w:rPr>
          <w:rFonts w:ascii="Times New Roman" w:hAnsi="Times New Roman"/>
          <w:b/>
          <w:sz w:val="28"/>
          <w:szCs w:val="24"/>
        </w:rPr>
        <w:t xml:space="preserve">ических экологических платежей </w:t>
      </w:r>
    </w:p>
    <w:p w:rsidR="009A02AF" w:rsidRPr="002942F9" w:rsidRDefault="009A02AF" w:rsidP="009A0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u w:val="single"/>
        </w:rPr>
      </w:pPr>
      <w:r w:rsidRPr="002942F9">
        <w:rPr>
          <w:rFonts w:ascii="Times New Roman" w:hAnsi="Times New Roman"/>
          <w:sz w:val="28"/>
          <w:szCs w:val="24"/>
        </w:rPr>
        <w:t xml:space="preserve">Нормативные экологические платежи от стационарных объектов на отчетный период составляют </w:t>
      </w:r>
      <w:r w:rsidRPr="002942F9">
        <w:rPr>
          <w:rFonts w:ascii="Times New Roman" w:hAnsi="Times New Roman"/>
          <w:b/>
          <w:sz w:val="28"/>
          <w:szCs w:val="24"/>
        </w:rPr>
        <w:t xml:space="preserve">1754,6 </w:t>
      </w:r>
      <w:r w:rsidRPr="002942F9">
        <w:rPr>
          <w:rFonts w:ascii="Times New Roman" w:hAnsi="Times New Roman"/>
          <w:sz w:val="28"/>
          <w:szCs w:val="24"/>
        </w:rPr>
        <w:t>тыс. тенге, фактическая оплата в 202</w:t>
      </w:r>
      <w:r w:rsidRPr="00203406">
        <w:rPr>
          <w:rFonts w:ascii="Times New Roman" w:hAnsi="Times New Roman"/>
          <w:sz w:val="28"/>
          <w:szCs w:val="24"/>
        </w:rPr>
        <w:t>0</w:t>
      </w:r>
      <w:r w:rsidRPr="002942F9">
        <w:rPr>
          <w:rFonts w:ascii="Times New Roman" w:hAnsi="Times New Roman"/>
          <w:sz w:val="28"/>
          <w:szCs w:val="24"/>
        </w:rPr>
        <w:t xml:space="preserve"> году составила </w:t>
      </w:r>
      <w:r w:rsidRPr="002942F9">
        <w:rPr>
          <w:rFonts w:ascii="Times New Roman" w:hAnsi="Times New Roman"/>
          <w:b/>
          <w:sz w:val="28"/>
          <w:szCs w:val="24"/>
        </w:rPr>
        <w:t>286,7</w:t>
      </w:r>
      <w:r w:rsidRPr="002942F9">
        <w:rPr>
          <w:rFonts w:ascii="Times New Roman" w:hAnsi="Times New Roman"/>
          <w:sz w:val="28"/>
          <w:szCs w:val="24"/>
        </w:rPr>
        <w:t xml:space="preserve"> тыс. тенге. За отчетный период 2019 года фактическая оплата экологических платежей составила </w:t>
      </w:r>
      <w:r w:rsidRPr="002942F9">
        <w:rPr>
          <w:rFonts w:ascii="Times New Roman" w:hAnsi="Times New Roman"/>
          <w:b/>
          <w:sz w:val="28"/>
          <w:szCs w:val="24"/>
        </w:rPr>
        <w:t xml:space="preserve">108,5 </w:t>
      </w:r>
      <w:r w:rsidRPr="002942F9">
        <w:rPr>
          <w:rFonts w:ascii="Times New Roman" w:hAnsi="Times New Roman"/>
          <w:sz w:val="28"/>
          <w:szCs w:val="24"/>
        </w:rPr>
        <w:t>тыс. тенге.</w:t>
      </w:r>
    </w:p>
    <w:p w:rsidR="009A02AF" w:rsidRPr="002942F9" w:rsidRDefault="009A02AF" w:rsidP="009A0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942F9">
        <w:rPr>
          <w:rFonts w:ascii="Times New Roman" w:hAnsi="Times New Roman"/>
          <w:sz w:val="28"/>
          <w:szCs w:val="24"/>
          <w:lang w:val="kk-KZ"/>
        </w:rPr>
        <w:t xml:space="preserve">Увеличение </w:t>
      </w:r>
      <w:r w:rsidRPr="002942F9">
        <w:rPr>
          <w:rFonts w:ascii="Times New Roman" w:hAnsi="Times New Roman"/>
          <w:sz w:val="28"/>
          <w:szCs w:val="24"/>
        </w:rPr>
        <w:t xml:space="preserve">экологических платежей в сравнении с аналогичным периодом прошлого года в 2,5 раза связано с увеличением объема  выбросов при перевалке сыпучих, пылящих грузов (зерно насыпью). </w:t>
      </w:r>
    </w:p>
    <w:p w:rsidR="009A02AF" w:rsidRPr="002942F9" w:rsidRDefault="009A02AF" w:rsidP="009A02A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4"/>
        </w:rPr>
      </w:pPr>
      <w:r w:rsidRPr="002942F9">
        <w:rPr>
          <w:rFonts w:ascii="Times New Roman" w:eastAsia="Calibri" w:hAnsi="Times New Roman"/>
          <w:sz w:val="28"/>
          <w:szCs w:val="24"/>
        </w:rPr>
        <w:t>Расчеты эмиссий составляются согласно проектам ПДВ.</w:t>
      </w:r>
    </w:p>
    <w:p w:rsidR="009A02AF" w:rsidRPr="002942F9" w:rsidRDefault="009A02AF" w:rsidP="009A02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942F9">
        <w:rPr>
          <w:rFonts w:ascii="Times New Roman" w:hAnsi="Times New Roman"/>
          <w:sz w:val="28"/>
          <w:szCs w:val="24"/>
        </w:rPr>
        <w:t xml:space="preserve">Экологические платежи от </w:t>
      </w:r>
      <w:r w:rsidRPr="002942F9">
        <w:rPr>
          <w:rFonts w:ascii="Times New Roman" w:hAnsi="Times New Roman"/>
          <w:sz w:val="28"/>
          <w:szCs w:val="24"/>
          <w:lang w:val="kk-KZ"/>
        </w:rPr>
        <w:t>передвижных источников в 2020 году</w:t>
      </w:r>
      <w:r w:rsidRPr="002942F9">
        <w:rPr>
          <w:rFonts w:ascii="Times New Roman" w:hAnsi="Times New Roman"/>
          <w:sz w:val="28"/>
          <w:szCs w:val="24"/>
        </w:rPr>
        <w:t xml:space="preserve"> составили – </w:t>
      </w:r>
      <w:r w:rsidRPr="002942F9">
        <w:rPr>
          <w:rFonts w:ascii="Times New Roman" w:eastAsia="Times New Roman" w:hAnsi="Times New Roman"/>
          <w:sz w:val="28"/>
          <w:szCs w:val="24"/>
          <w:lang w:eastAsia="ru-RU"/>
        </w:rPr>
        <w:t>666,4 тыс. тенге</w:t>
      </w:r>
      <w:r w:rsidRPr="002942F9">
        <w:rPr>
          <w:rFonts w:ascii="Times New Roman" w:hAnsi="Times New Roman"/>
          <w:sz w:val="28"/>
          <w:szCs w:val="24"/>
        </w:rPr>
        <w:t xml:space="preserve">, за отчетный период 2019 года – </w:t>
      </w:r>
      <w:r w:rsidRPr="002942F9">
        <w:rPr>
          <w:rFonts w:ascii="Times New Roman" w:eastAsia="Times New Roman" w:hAnsi="Times New Roman"/>
          <w:sz w:val="28"/>
          <w:szCs w:val="24"/>
          <w:lang w:eastAsia="ru-RU"/>
        </w:rPr>
        <w:t>804 тыс. тенге</w:t>
      </w:r>
      <w:r w:rsidRPr="002942F9">
        <w:rPr>
          <w:rFonts w:ascii="Times New Roman" w:hAnsi="Times New Roman"/>
          <w:sz w:val="28"/>
          <w:szCs w:val="24"/>
        </w:rPr>
        <w:t xml:space="preserve">. </w:t>
      </w:r>
      <w:r w:rsidRPr="002942F9">
        <w:rPr>
          <w:rFonts w:ascii="Times New Roman" w:eastAsia="Times New Roman" w:hAnsi="Times New Roman"/>
          <w:sz w:val="28"/>
          <w:szCs w:val="24"/>
          <w:lang w:eastAsia="ru-RU"/>
        </w:rPr>
        <w:t>При этом уменьшение суммы платы составило 17% в сравнении с аналогичным периодом 2019 года.</w:t>
      </w:r>
      <w:r w:rsidR="003D3D8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942F9">
        <w:rPr>
          <w:rFonts w:ascii="Times New Roman" w:eastAsia="Times New Roman" w:hAnsi="Times New Roman"/>
          <w:sz w:val="28"/>
          <w:szCs w:val="24"/>
          <w:lang w:eastAsia="ru-RU"/>
        </w:rPr>
        <w:t>Уменьшение платы за выбросы обусловлено снижением объема перевалки грузов и сокращением объема работы перегрузочной техники в период карантина.</w:t>
      </w:r>
    </w:p>
    <w:p w:rsidR="009A02AF" w:rsidRPr="002942F9" w:rsidRDefault="009A02AF" w:rsidP="009A0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942F9">
        <w:rPr>
          <w:rFonts w:ascii="Times New Roman" w:hAnsi="Times New Roman"/>
          <w:sz w:val="28"/>
          <w:szCs w:val="24"/>
        </w:rPr>
        <w:t xml:space="preserve">Всего по Обществу за </w:t>
      </w:r>
      <w:r w:rsidR="003D3D82">
        <w:rPr>
          <w:rFonts w:ascii="Times New Roman" w:hAnsi="Times New Roman"/>
          <w:sz w:val="28"/>
          <w:szCs w:val="24"/>
        </w:rPr>
        <w:t>2020 год</w:t>
      </w:r>
      <w:r w:rsidRPr="002942F9">
        <w:rPr>
          <w:rFonts w:ascii="Times New Roman" w:hAnsi="Times New Roman"/>
          <w:sz w:val="28"/>
          <w:szCs w:val="24"/>
        </w:rPr>
        <w:t xml:space="preserve"> экол</w:t>
      </w:r>
      <w:r w:rsidR="003D3D82">
        <w:rPr>
          <w:rFonts w:ascii="Times New Roman" w:hAnsi="Times New Roman"/>
          <w:sz w:val="28"/>
          <w:szCs w:val="24"/>
        </w:rPr>
        <w:t>огические платежи составили 953,2</w:t>
      </w:r>
      <w:r w:rsidRPr="002942F9">
        <w:rPr>
          <w:rFonts w:ascii="Times New Roman" w:hAnsi="Times New Roman"/>
          <w:sz w:val="28"/>
          <w:szCs w:val="24"/>
        </w:rPr>
        <w:t xml:space="preserve"> тыс. тенге, за 2019 год – 912,5 тыс. тенге. </w:t>
      </w:r>
    </w:p>
    <w:p w:rsidR="009A02AF" w:rsidRPr="002942F9" w:rsidRDefault="009A02AF" w:rsidP="003D3D82">
      <w:pPr>
        <w:spacing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942F9">
        <w:rPr>
          <w:rFonts w:ascii="Times New Roman" w:hAnsi="Times New Roman"/>
          <w:sz w:val="28"/>
          <w:szCs w:val="24"/>
        </w:rPr>
        <w:t xml:space="preserve">Увеличение экологических платежей составляет 4,45%. Увеличение связано с ростом объема перевалки пылящих грузов (зерно насыпью). </w:t>
      </w:r>
    </w:p>
    <w:p w:rsidR="009A02AF" w:rsidRPr="002942F9" w:rsidRDefault="009A02AF" w:rsidP="009A02A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942F9">
        <w:rPr>
          <w:rFonts w:ascii="Times New Roman" w:hAnsi="Times New Roman"/>
          <w:b/>
          <w:sz w:val="28"/>
          <w:szCs w:val="28"/>
        </w:rPr>
        <w:t>Информация по заключенным договорам на реализацию (макулатура, пластик, стекло, аккумуляторные батареи) экономия от уменьшения ТБО и полученная прибыль.</w:t>
      </w:r>
    </w:p>
    <w:p w:rsidR="009A02AF" w:rsidRPr="002942F9" w:rsidRDefault="009A02AF" w:rsidP="009A0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42F9">
        <w:rPr>
          <w:rFonts w:ascii="Times New Roman" w:hAnsi="Times New Roman"/>
          <w:sz w:val="28"/>
          <w:szCs w:val="28"/>
        </w:rPr>
        <w:t>В АО «НК «АМТП»  заключены договоры на реализацию отходов.</w:t>
      </w:r>
    </w:p>
    <w:p w:rsidR="009A02AF" w:rsidRPr="002942F9" w:rsidRDefault="009A02AF" w:rsidP="009A0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2F9">
        <w:rPr>
          <w:rFonts w:ascii="Times New Roman" w:hAnsi="Times New Roman"/>
          <w:sz w:val="28"/>
          <w:szCs w:val="28"/>
        </w:rPr>
        <w:t xml:space="preserve">        За 12 месяцев 2020 года передано 19,5 тонн отходов, из них:</w:t>
      </w:r>
    </w:p>
    <w:p w:rsidR="009A02AF" w:rsidRPr="002942F9" w:rsidRDefault="009A02AF" w:rsidP="009A0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2F9">
        <w:rPr>
          <w:rFonts w:ascii="Times New Roman" w:hAnsi="Times New Roman"/>
          <w:i/>
          <w:sz w:val="28"/>
          <w:szCs w:val="28"/>
        </w:rPr>
        <w:t xml:space="preserve"> </w:t>
      </w:r>
      <w:r w:rsidRPr="002942F9">
        <w:rPr>
          <w:rFonts w:ascii="Times New Roman" w:hAnsi="Times New Roman"/>
          <w:i/>
          <w:sz w:val="28"/>
          <w:szCs w:val="28"/>
        </w:rPr>
        <w:tab/>
      </w:r>
      <w:r w:rsidRPr="002942F9">
        <w:rPr>
          <w:rFonts w:ascii="Times New Roman" w:hAnsi="Times New Roman"/>
          <w:sz w:val="28"/>
          <w:szCs w:val="28"/>
        </w:rPr>
        <w:t xml:space="preserve">- бумаги – 1,7 тонны; </w:t>
      </w:r>
    </w:p>
    <w:p w:rsidR="009A02AF" w:rsidRPr="002942F9" w:rsidRDefault="009A02AF" w:rsidP="009A02A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942F9">
        <w:rPr>
          <w:rFonts w:ascii="Times New Roman" w:hAnsi="Times New Roman"/>
          <w:sz w:val="28"/>
          <w:szCs w:val="28"/>
        </w:rPr>
        <w:t>- картона – 0,9тонны;</w:t>
      </w:r>
    </w:p>
    <w:p w:rsidR="009A02AF" w:rsidRPr="002942F9" w:rsidRDefault="009A02AF" w:rsidP="009A02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42F9">
        <w:rPr>
          <w:rFonts w:ascii="Times New Roman" w:hAnsi="Times New Roman"/>
          <w:sz w:val="28"/>
          <w:szCs w:val="28"/>
        </w:rPr>
        <w:t>- пластика – 0,3 тонны;</w:t>
      </w:r>
    </w:p>
    <w:p w:rsidR="009A02AF" w:rsidRPr="002942F9" w:rsidRDefault="009A02AF" w:rsidP="009A02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42F9">
        <w:rPr>
          <w:rFonts w:ascii="Times New Roman" w:hAnsi="Times New Roman"/>
          <w:sz w:val="28"/>
          <w:szCs w:val="28"/>
        </w:rPr>
        <w:t>- бракованного электронного оборудования – 1,5 тонны;</w:t>
      </w:r>
    </w:p>
    <w:p w:rsidR="009A02AF" w:rsidRPr="002942F9" w:rsidRDefault="009A02AF" w:rsidP="009A02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42F9">
        <w:rPr>
          <w:rFonts w:ascii="Times New Roman" w:hAnsi="Times New Roman"/>
          <w:sz w:val="28"/>
          <w:szCs w:val="28"/>
        </w:rPr>
        <w:t>- отработанных шин – 10,2 тонны;</w:t>
      </w:r>
    </w:p>
    <w:p w:rsidR="009A02AF" w:rsidRPr="002942F9" w:rsidRDefault="009A02AF" w:rsidP="009A02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42F9">
        <w:rPr>
          <w:rFonts w:ascii="Times New Roman" w:hAnsi="Times New Roman"/>
          <w:sz w:val="28"/>
          <w:szCs w:val="28"/>
        </w:rPr>
        <w:t>- отработанных аккумуляторов – 0,9 тонны;</w:t>
      </w:r>
    </w:p>
    <w:p w:rsidR="009A02AF" w:rsidRPr="002942F9" w:rsidRDefault="009A02AF" w:rsidP="009A02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42F9">
        <w:rPr>
          <w:rFonts w:ascii="Times New Roman" w:hAnsi="Times New Roman"/>
          <w:sz w:val="28"/>
          <w:szCs w:val="28"/>
        </w:rPr>
        <w:t>- отработанных масел – 4 тонны.</w:t>
      </w:r>
    </w:p>
    <w:p w:rsidR="009A02AF" w:rsidRPr="00837665" w:rsidRDefault="009A02AF" w:rsidP="009A0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2F9">
        <w:rPr>
          <w:rFonts w:ascii="Times New Roman" w:hAnsi="Times New Roman"/>
          <w:sz w:val="28"/>
          <w:szCs w:val="28"/>
        </w:rPr>
        <w:t xml:space="preserve">           Экономическая выгода от сдачи раздельно собранных отходов на переработку составила 257 995 тенге.</w:t>
      </w:r>
    </w:p>
    <w:p w:rsidR="009A02AF" w:rsidRPr="00F274CC" w:rsidRDefault="009A02AF" w:rsidP="009A02AF"/>
    <w:p w:rsidR="009A02AF" w:rsidRDefault="009A02AF" w:rsidP="009A02A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162C673C" wp14:editId="40813752">
            <wp:extent cx="9093200" cy="598141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3346" cy="5988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00EF" w:rsidRPr="009A02AF" w:rsidRDefault="009A02A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8342C6A" wp14:editId="4498C05D">
            <wp:extent cx="9296400" cy="60772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8121" cy="6078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00EF" w:rsidRPr="009A02AF" w:rsidSect="009A02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80"/>
    <w:rsid w:val="00006206"/>
    <w:rsid w:val="001E58CD"/>
    <w:rsid w:val="003D3D82"/>
    <w:rsid w:val="004A00EF"/>
    <w:rsid w:val="004D5475"/>
    <w:rsid w:val="005B186E"/>
    <w:rsid w:val="006C3798"/>
    <w:rsid w:val="007218D9"/>
    <w:rsid w:val="007C0D32"/>
    <w:rsid w:val="009A02AF"/>
    <w:rsid w:val="00BE2118"/>
    <w:rsid w:val="00C81069"/>
    <w:rsid w:val="00CD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2AF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218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1 Знак Знак Знак Знак Знак Знак"/>
    <w:basedOn w:val="a"/>
    <w:autoRedefine/>
    <w:rsid w:val="007218D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2AF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218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1 Знак Знак Знак Знак Знак Знак"/>
    <w:basedOn w:val="a"/>
    <w:autoRedefine/>
    <w:rsid w:val="007218D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2858C929</Template>
  <TotalTime>53</TotalTime>
  <Pages>5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Газиза Ержанова</dc:creator>
  <cp:keywords/>
  <dc:description/>
  <cp:lastModifiedBy>Гульмира Байгулова</cp:lastModifiedBy>
  <cp:revision>7</cp:revision>
  <dcterms:created xsi:type="dcterms:W3CDTF">2021-04-13T06:03:00Z</dcterms:created>
  <dcterms:modified xsi:type="dcterms:W3CDTF">2021-06-17T09:00:00Z</dcterms:modified>
</cp:coreProperties>
</file>