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(алым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мөлшерлемелері</w:t>
      </w:r>
      <w:r w:rsidRPr="00EB622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)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прейскуранты</w:t>
      </w:r>
    </w:p>
    <w:p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күшімен және құралдарымен атқарылатын жүк тиеу-түсіру жұмыстары қызметіне </w:t>
      </w: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1559"/>
        <w:gridCol w:w="1559"/>
      </w:tblGrid>
      <w:tr w:rsidR="0032117F" w:rsidRPr="00FF67E2" w:rsidTr="00A46F2D">
        <w:trPr>
          <w:trHeight w:val="8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:rsidTr="00F72490">
        <w:trPr>
          <w:trHeight w:val="283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:rsidTr="00A46F2D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3 965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</w:t>
            </w:r>
          </w:p>
        </w:tc>
      </w:tr>
      <w:tr w:rsidR="0032117F" w:rsidRPr="00FF67E2" w:rsidTr="00A46F2D">
        <w:trPr>
          <w:trHeight w:val="39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F72490">
        <w:trPr>
          <w:trHeight w:val="29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32117F" w:rsidRPr="00FF67E2" w:rsidTr="00F72490">
        <w:trPr>
          <w:trHeight w:val="34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714</w:t>
            </w:r>
          </w:p>
        </w:tc>
      </w:tr>
      <w:tr w:rsidR="0032117F" w:rsidRPr="00FF67E2" w:rsidTr="00F72490">
        <w:trPr>
          <w:trHeight w:val="36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32117F" w:rsidRPr="00FF67E2" w:rsidTr="00F7249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40-футтық жүк тиелген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32117F" w:rsidRPr="00FF67E2" w:rsidTr="00A46F2D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45-футтық жүк тиелген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80 430</w:t>
            </w:r>
          </w:p>
        </w:tc>
      </w:tr>
      <w:tr w:rsidR="0032117F" w:rsidRPr="00FF67E2" w:rsidTr="00A46F2D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160 860</w:t>
            </w:r>
          </w:p>
        </w:tc>
      </w:tr>
      <w:tr w:rsidR="0032117F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</w:tr>
      <w:tr w:rsidR="0032117F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32117F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32117F" w:rsidRPr="00FF67E2" w:rsidTr="00A46F2D">
        <w:trPr>
          <w:trHeight w:val="5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32117F" w:rsidRPr="00FF67E2" w:rsidTr="00A46F2D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32117F" w:rsidRPr="00FF67E2" w:rsidTr="00A46F2D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Өзге 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32117F" w:rsidRPr="00FF67E2" w:rsidTr="00A46F2D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32117F" w:rsidRPr="00FF67E2" w:rsidTr="00A46F2D">
        <w:trPr>
          <w:trHeight w:val="5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б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ө</w:t>
      </w:r>
      <w:r w:rsidRPr="00FF67E2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іңбеген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2117F" w:rsidRPr="00FF67E2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A46F2D" w:rsidRDefault="0032117F" w:rsidP="0032117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төлемақы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kk-KZ"/>
        </w:rPr>
        <w:t>алынбайды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:</w:t>
      </w:r>
    </w:p>
    <w:p w:rsidR="00A46F2D" w:rsidRPr="00A46F2D" w:rsidRDefault="00A46F2D" w:rsidP="00A46F2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металды сақтағаны үшін: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жабық қоймада сақтау кезінде алғашқы 20 күнтізбелік күн ішінде;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ашық қойма алаңдарында металды сақтау кезінде алғашқы 45 күнтізбелік күн ішінде. </w:t>
      </w:r>
    </w:p>
    <w:p w:rsidR="00A46F2D" w:rsidRPr="00A46F2D" w:rsidRDefault="00A46F2D" w:rsidP="00A46F2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2) портқа келген контейнерлерді сақтағаны үшін: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ашық қойма алаңдарында тиелген/ бос контейнерлерді сақтау кезінде алғашқы 10 күнтізбелік күн ішінде;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ашық қойма алаңдарында бос тоңазытқыш-контейнерлерді сақтау кезінде алғашқы 20 күнтізбелік күн ішінде. </w:t>
      </w:r>
    </w:p>
    <w:p w:rsidR="00A46F2D" w:rsidRDefault="00A46F2D" w:rsidP="00A46F2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3) ТХКМ бағыты бойынша тұрақты контейнерлік желі шеңберінде Ақтау портына келген (экспорт/импорт) бос контейнерлерді сақтағаны үшін. </w:t>
      </w:r>
    </w:p>
    <w:p w:rsidR="00A46F2D" w:rsidRPr="00A46F2D" w:rsidRDefault="00A46F2D" w:rsidP="00A46F2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A46F2D" w:rsidRPr="00A46F2D" w:rsidRDefault="00A46F2D" w:rsidP="00A46F2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 xml:space="preserve">4) портқа келген басқа да жүктерді ашық қойма алаңдарында сақтағаны үшін: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биг-бегтегі цементті сақтау кезінде алғашқы 10 күнтізбелік күн ішінде;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жүкті сақтау кезінде алғашқы 20 күнтізбелік күн ішінде (биг-бегте);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биг-бегтегі астықты сақтау кезінде алғашқы 30 күнтізбелік күн ішінде; </w:t>
      </w:r>
    </w:p>
    <w:p w:rsidR="00A46F2D" w:rsidRPr="00A46F2D" w:rsidRDefault="00A46F2D" w:rsidP="00A46F2D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сақтау кезінде алғашқы 45 күнтізбелік күн ішінде. </w:t>
      </w:r>
    </w:p>
    <w:p w:rsidR="00A46F2D" w:rsidRPr="00A46F2D" w:rsidRDefault="00A46F2D" w:rsidP="00A46F2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 алғашқы 12 күнтізбелік күн ішінде жабық қоймада биг-бегтегі дәнді дақылдарды сақтағаны үшін.</w:t>
      </w:r>
    </w:p>
    <w:p w:rsidR="0032117F" w:rsidRPr="00FF67E2" w:rsidRDefault="0032117F" w:rsidP="0032117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:rsidR="00AB5350" w:rsidRPr="001329DB" w:rsidRDefault="00AB5350" w:rsidP="001329D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:rsidR="00AB5350" w:rsidRPr="001329DB" w:rsidRDefault="00AB5350" w:rsidP="001329D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:rsidR="00AB5350" w:rsidRPr="001329DB" w:rsidRDefault="00AB5350" w:rsidP="001329D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:rsidR="00AB5350" w:rsidRPr="001329DB" w:rsidRDefault="00AB5350" w:rsidP="001329D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:rsidR="00AB5350" w:rsidRPr="001329DB" w:rsidRDefault="00AB5350" w:rsidP="001329D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:rsidR="0032117F" w:rsidRPr="00FF67E2" w:rsidRDefault="0032117F" w:rsidP="0032117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қан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 жағдайда төлемақы толық тәулік үшін есептелінеді.</w:t>
      </w:r>
    </w:p>
    <w:p w:rsidR="0032117F" w:rsidRPr="00FF67E2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:rsidR="0032117F" w:rsidRPr="00FF67E2" w:rsidRDefault="0032117F" w:rsidP="0032117F">
      <w:pPr>
        <w:pStyle w:val="HTML"/>
        <w:shd w:val="clear" w:color="auto" w:fill="F8F9FA"/>
        <w:spacing w:line="5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329DB" w:rsidRPr="001329DB" w:rsidRDefault="001329DB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ТХКМ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:rsidR="001329DB" w:rsidRPr="001329DB" w:rsidRDefault="001329DB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:rsidR="001329DB" w:rsidRDefault="001329DB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 жүктерді сақтау ақысын есептеу кезінде толық емес тәулік толық деп есептеледі.</w:t>
      </w:r>
    </w:p>
    <w:p w:rsidR="0032117F" w:rsidRDefault="0032117F" w:rsidP="0032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29DB" w:rsidRDefault="001329DB" w:rsidP="0032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FF67E2" w:rsidRDefault="0032117F" w:rsidP="0032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5. Кейiн порттан шығып 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</w:p>
    <w:p w:rsidR="0032117F" w:rsidRPr="0032246B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:rsidTr="001329DB">
        <w:trPr>
          <w:trHeight w:val="48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32117F" w:rsidRPr="00FF67E2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117F" w:rsidRPr="00FF67E2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32117F" w:rsidRPr="00FF67E2" w:rsidTr="001329DB">
        <w:trPr>
          <w:trHeight w:val="5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27 095,60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32117F" w:rsidRPr="00FF67E2" w:rsidTr="001329DB">
        <w:trPr>
          <w:trHeight w:val="523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16 608,30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2117F" w:rsidRPr="00FF67E2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DF6925" w:rsidRPr="00FF67E2" w:rsidRDefault="0032117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DF6925" w:rsidRPr="00FF67E2" w:rsidRDefault="0032117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32117F" w:rsidRPr="00FF67E2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брутто-регистровая тонна</w:t>
      </w: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246B" w:rsidRPr="00CB52F8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:rsidR="0032246B" w:rsidRPr="00CB52F8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7282">
        <w:rPr>
          <w:rFonts w:ascii="Times New Roman" w:hAnsi="Times New Roman" w:cs="Times New Roman"/>
          <w:i/>
          <w:sz w:val="24"/>
          <w:szCs w:val="24"/>
          <w:lang w:val="kk-KZ"/>
        </w:rPr>
        <w:t>Молшерлемені мен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246B" w:rsidRPr="00C63460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7282"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жұзіп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2246B" w:rsidRPr="00253B66" w:rsidRDefault="0032246B" w:rsidP="003224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маршруты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(ТМТМ) – транзиттік жүктің ТМТМ 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1) 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("АТСП "ҰК" АҚ және "АС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</w:t>
      </w:r>
      <w:proofErr w:type="gramStart"/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т-</w:t>
      </w:r>
      <w:proofErr w:type="gramEnd"/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ғұрып жинағының 44-тармағына сәйкес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сүййреткіш 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 Порт сүйреткіші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:rsidR="0032117F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 Порт сүйреткіші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:rsidR="0032117F" w:rsidRPr="00034D66" w:rsidRDefault="0032117F" w:rsidP="0032117F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034D66" w:rsidRDefault="0032117F" w:rsidP="0032117F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D32E6E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 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қызметтеріне белгіленген төлемге 0,5 коэффициент мынадай жағдайларда қолданылады:</w:t>
      </w:r>
    </w:p>
    <w:p w:rsidR="0032117F" w:rsidRPr="00FF67E2" w:rsidRDefault="0032117F" w:rsidP="0032117F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БРТ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:rsidR="0032117F" w:rsidRPr="00FF67E2" w:rsidRDefault="0032117F" w:rsidP="0032117F">
      <w:pPr>
        <w:pStyle w:val="a4"/>
        <w:numPr>
          <w:ilvl w:val="1"/>
          <w:numId w:val="2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 xml:space="preserve"> арқандап байлау операцияларымен байланысты емес портта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қызметтерін көрсету кезінде;</w:t>
      </w:r>
    </w:p>
    <w:p w:rsidR="0032117F" w:rsidRPr="00FF67E2" w:rsidRDefault="0032117F" w:rsidP="0032117F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техникалық себептер бойынша екінші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сүйреткіш 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болмаған жағдайда.</w:t>
      </w:r>
    </w:p>
    <w:p w:rsidR="0032117F" w:rsidRPr="00FF67E2" w:rsidRDefault="0032117F" w:rsidP="0032117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 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:rsidR="0032117F" w:rsidRPr="00FF67E2" w:rsidRDefault="0032117F" w:rsidP="0032117F">
      <w:pPr>
        <w:pStyle w:val="a4"/>
        <w:tabs>
          <w:tab w:val="left" w:pos="851"/>
        </w:tabs>
        <w:spacing w:after="0" w:line="240" w:lineRule="auto"/>
        <w:ind w:left="142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Default="0032117F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Құжаттарды ресімдеу қызметтері </w:t>
      </w:r>
    </w:p>
    <w:p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Тапсырмалардың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2117F" w:rsidRPr="00FF67E2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ресімдеу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ресімдеу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қарай кедендік ресімдеуі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32117F" w:rsidRPr="00FF67E2" w:rsidRDefault="0032117F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Default="0032117F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</w:p>
    <w:p w:rsidR="00F72490" w:rsidRPr="00F72490" w:rsidRDefault="00F72490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</w:p>
    <w:p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466DFF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3 050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күшімен 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759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2757AD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контейнердің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қозғау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контейнерді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lang w:eastAsia="ru-RU"/>
              </w:rPr>
              <w:t>ңға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кері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жылжыту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26 250</w:t>
            </w:r>
          </w:p>
        </w:tc>
      </w:tr>
      <w:tr w:rsidR="0032117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2757AD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қызметтерге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2757AD" w:rsidRDefault="00DF6925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466DF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6DFF" w:rsidRDefault="00466DF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6DFF" w:rsidRPr="0045049F" w:rsidRDefault="00466DFF" w:rsidP="00FA5DA1">
            <w:pPr>
              <w:spacing w:after="0" w:line="240" w:lineRule="auto"/>
              <w:ind w:left="-108" w:firstLine="19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Тү</w:t>
            </w:r>
            <w:proofErr w:type="gramStart"/>
            <w:r w:rsidRPr="0045049F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End"/>
            <w:r w:rsidRPr="0045049F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қара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металдарды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вагоннан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контейнерге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порттың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күшімен</w:t>
            </w:r>
            <w:proofErr w:type="spellEnd"/>
          </w:p>
          <w:p w:rsidR="00466DFF" w:rsidRPr="00AC783F" w:rsidRDefault="00466DFF" w:rsidP="00FA5DA1">
            <w:pPr>
              <w:spacing w:after="0" w:line="240" w:lineRule="auto"/>
              <w:ind w:left="-108" w:firstLine="19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5049F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45049F">
              <w:rPr>
                <w:rFonts w:ascii="Times New Roman" w:hAnsi="Times New Roman" w:cs="Times New Roman"/>
                <w:lang w:eastAsia="ru-RU"/>
              </w:rPr>
              <w:t>әне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құралдарымен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қайта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6DFF" w:rsidRPr="00AC783F" w:rsidRDefault="00466DFF" w:rsidP="00FA5D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6DFF" w:rsidRPr="00AC783F" w:rsidRDefault="00466DFF" w:rsidP="00FA5D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lang w:eastAsia="ru-RU"/>
              </w:rPr>
              <w:t>732</w:t>
            </w:r>
          </w:p>
        </w:tc>
      </w:tr>
    </w:tbl>
    <w:p w:rsidR="00DF78A7" w:rsidRPr="0032117F" w:rsidRDefault="00DF78A7" w:rsidP="00F72490">
      <w:pPr>
        <w:spacing w:after="0" w:line="240" w:lineRule="auto"/>
        <w:jc w:val="center"/>
      </w:pPr>
    </w:p>
    <w:sectPr w:rsidR="00DF78A7" w:rsidRPr="0032117F" w:rsidSect="00222D5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2D" w:rsidRDefault="00A46F2D" w:rsidP="004D4135">
      <w:pPr>
        <w:spacing w:after="0" w:line="240" w:lineRule="auto"/>
      </w:pPr>
      <w:r>
        <w:separator/>
      </w:r>
    </w:p>
  </w:endnote>
  <w:endnote w:type="continuationSeparator" w:id="0">
    <w:p w:rsidR="00A46F2D" w:rsidRDefault="00A46F2D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2D" w:rsidRDefault="00A46F2D" w:rsidP="004D4135">
      <w:pPr>
        <w:spacing w:after="0" w:line="240" w:lineRule="auto"/>
      </w:pPr>
      <w:r>
        <w:separator/>
      </w:r>
    </w:p>
  </w:footnote>
  <w:footnote w:type="continuationSeparator" w:id="0">
    <w:p w:rsidR="00A46F2D" w:rsidRDefault="00A46F2D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4C76"/>
    <w:rsid w:val="00147B2B"/>
    <w:rsid w:val="00147D6F"/>
    <w:rsid w:val="001537E3"/>
    <w:rsid w:val="0015582D"/>
    <w:rsid w:val="001645D3"/>
    <w:rsid w:val="00166FB0"/>
    <w:rsid w:val="00170C4E"/>
    <w:rsid w:val="00170EB5"/>
    <w:rsid w:val="00182628"/>
    <w:rsid w:val="00187C17"/>
    <w:rsid w:val="001A1B84"/>
    <w:rsid w:val="001A5A61"/>
    <w:rsid w:val="001B2DED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C0AAD"/>
    <w:rsid w:val="002C1529"/>
    <w:rsid w:val="002C3CB1"/>
    <w:rsid w:val="002C6E7F"/>
    <w:rsid w:val="002E2E97"/>
    <w:rsid w:val="002E4E2E"/>
    <w:rsid w:val="002E5FD4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95C9B"/>
    <w:rsid w:val="003A3DED"/>
    <w:rsid w:val="003C2C91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66DFF"/>
    <w:rsid w:val="0047060A"/>
    <w:rsid w:val="00471A74"/>
    <w:rsid w:val="004730F7"/>
    <w:rsid w:val="004837C2"/>
    <w:rsid w:val="00484C42"/>
    <w:rsid w:val="0049043A"/>
    <w:rsid w:val="00493929"/>
    <w:rsid w:val="004961F7"/>
    <w:rsid w:val="004A5063"/>
    <w:rsid w:val="004B33B7"/>
    <w:rsid w:val="004B5D39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52C53"/>
    <w:rsid w:val="00661515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70225B"/>
    <w:rsid w:val="007072B2"/>
    <w:rsid w:val="007204A5"/>
    <w:rsid w:val="00720A7D"/>
    <w:rsid w:val="007416E4"/>
    <w:rsid w:val="00744CC3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BDA"/>
    <w:rsid w:val="00894FEB"/>
    <w:rsid w:val="00897F8B"/>
    <w:rsid w:val="008A7E1B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60316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5167"/>
    <w:rsid w:val="00C73AA4"/>
    <w:rsid w:val="00C7774E"/>
    <w:rsid w:val="00C8136E"/>
    <w:rsid w:val="00C82931"/>
    <w:rsid w:val="00C92813"/>
    <w:rsid w:val="00C92989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748"/>
    <w:rsid w:val="00D20F80"/>
    <w:rsid w:val="00D23973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84D23"/>
    <w:rsid w:val="00D90BDD"/>
    <w:rsid w:val="00D9167D"/>
    <w:rsid w:val="00DA50AC"/>
    <w:rsid w:val="00DB3E18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33D3"/>
    <w:rsid w:val="00E5309F"/>
    <w:rsid w:val="00E55D41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345AE"/>
    <w:rsid w:val="00F532E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C151F"/>
    <w:rsid w:val="00FC1F3B"/>
    <w:rsid w:val="00FC61E1"/>
    <w:rsid w:val="00FD7177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B9AC-7BA5-4DC0-B049-807EBDBC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684411FF</Template>
  <TotalTime>21</TotalTime>
  <Pages>9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5</cp:revision>
  <cp:lastPrinted>2022-06-27T04:49:00Z</cp:lastPrinted>
  <dcterms:created xsi:type="dcterms:W3CDTF">2023-03-10T10:27:00Z</dcterms:created>
  <dcterms:modified xsi:type="dcterms:W3CDTF">2023-03-17T04:30:00Z</dcterms:modified>
</cp:coreProperties>
</file>